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F1" w:rsidRPr="00566A23" w:rsidRDefault="003B0BF1" w:rsidP="003B0BF1">
      <w:pPr>
        <w:spacing w:line="240" w:lineRule="auto"/>
        <w:jc w:val="both"/>
        <w:rPr>
          <w:rFonts w:ascii="Arial" w:hAnsi="Arial" w:cs="Arial"/>
          <w:b/>
          <w:i/>
          <w:sz w:val="28"/>
          <w:szCs w:val="28"/>
        </w:rPr>
      </w:pPr>
      <w:r w:rsidRPr="00566A23">
        <w:rPr>
          <w:rFonts w:ascii="Arial" w:hAnsi="Arial" w:cs="Arial"/>
          <w:b/>
          <w:i/>
          <w:sz w:val="28"/>
          <w:szCs w:val="28"/>
        </w:rPr>
        <w:t xml:space="preserve">La Ley </w:t>
      </w:r>
      <w:r>
        <w:rPr>
          <w:rFonts w:ascii="Arial" w:hAnsi="Arial" w:cs="Arial"/>
          <w:b/>
          <w:i/>
          <w:sz w:val="28"/>
          <w:szCs w:val="28"/>
        </w:rPr>
        <w:t xml:space="preserve">de Presupuesto </w:t>
      </w:r>
      <w:r w:rsidRPr="00566A23">
        <w:rPr>
          <w:rFonts w:ascii="Arial" w:hAnsi="Arial" w:cs="Arial"/>
          <w:b/>
          <w:i/>
          <w:sz w:val="28"/>
          <w:szCs w:val="28"/>
        </w:rPr>
        <w:t>19.355, de 19 de diciembre de 2015, modificó los artículos 3</w:t>
      </w:r>
      <w:r>
        <w:rPr>
          <w:rFonts w:ascii="Arial" w:hAnsi="Arial" w:cs="Arial"/>
          <w:b/>
          <w:i/>
          <w:sz w:val="28"/>
          <w:szCs w:val="28"/>
        </w:rPr>
        <w:t>5, 36 y 40 de la Ley 19.210 de Inclusión F</w:t>
      </w:r>
      <w:r w:rsidRPr="00566A23">
        <w:rPr>
          <w:rFonts w:ascii="Arial" w:hAnsi="Arial" w:cs="Arial"/>
          <w:b/>
          <w:i/>
          <w:sz w:val="28"/>
          <w:szCs w:val="28"/>
        </w:rPr>
        <w:t>inanciera.</w:t>
      </w:r>
    </w:p>
    <w:p w:rsidR="003B0BF1" w:rsidRDefault="003B0BF1" w:rsidP="003B0BF1">
      <w:pPr>
        <w:spacing w:line="240" w:lineRule="auto"/>
        <w:jc w:val="both"/>
      </w:pPr>
    </w:p>
    <w:p w:rsidR="003B0BF1" w:rsidRPr="0047670F" w:rsidRDefault="003B0BF1" w:rsidP="003B0BF1">
      <w:pPr>
        <w:spacing w:line="240" w:lineRule="auto"/>
        <w:jc w:val="both"/>
        <w:rPr>
          <w:rFonts w:ascii="Arial" w:hAnsi="Arial" w:cs="Arial"/>
          <w:sz w:val="24"/>
          <w:szCs w:val="24"/>
        </w:rPr>
      </w:pPr>
      <w:r w:rsidRPr="0047670F">
        <w:rPr>
          <w:rFonts w:ascii="Arial" w:hAnsi="Arial" w:cs="Arial"/>
          <w:b/>
          <w:sz w:val="24"/>
          <w:szCs w:val="24"/>
        </w:rPr>
        <w:t xml:space="preserve"> Art 36</w:t>
      </w:r>
      <w:r>
        <w:rPr>
          <w:rFonts w:ascii="Arial" w:hAnsi="Arial" w:cs="Arial"/>
          <w:b/>
          <w:sz w:val="24"/>
          <w:szCs w:val="24"/>
        </w:rPr>
        <w:t>.</w:t>
      </w:r>
      <w:r w:rsidRPr="0047670F">
        <w:rPr>
          <w:rFonts w:ascii="Arial" w:hAnsi="Arial" w:cs="Arial"/>
          <w:b/>
          <w:sz w:val="24"/>
          <w:szCs w:val="24"/>
        </w:rPr>
        <w:t xml:space="preserve"> Medios de pago</w:t>
      </w:r>
      <w:r>
        <w:rPr>
          <w:rFonts w:ascii="Arial" w:hAnsi="Arial" w:cs="Arial"/>
          <w:b/>
          <w:sz w:val="24"/>
          <w:szCs w:val="24"/>
        </w:rPr>
        <w:t xml:space="preserve"> </w:t>
      </w:r>
      <w:r w:rsidRPr="0047670F">
        <w:rPr>
          <w:rFonts w:ascii="Arial" w:hAnsi="Arial" w:cs="Arial"/>
          <w:b/>
          <w:sz w:val="24"/>
          <w:szCs w:val="24"/>
        </w:rPr>
        <w:t>admitidos para operaciones de elevado monto</w:t>
      </w:r>
      <w:r w:rsidRPr="0047670F">
        <w:rPr>
          <w:rFonts w:ascii="Arial" w:hAnsi="Arial" w:cs="Arial"/>
          <w:sz w:val="24"/>
          <w:szCs w:val="24"/>
        </w:rPr>
        <w:t>:</w:t>
      </w:r>
    </w:p>
    <w:p w:rsidR="003B0BF1" w:rsidRPr="001B7AD5" w:rsidRDefault="003B0BF1" w:rsidP="003B0BF1">
      <w:pPr>
        <w:spacing w:line="240" w:lineRule="auto"/>
        <w:jc w:val="both"/>
        <w:rPr>
          <w:rFonts w:ascii="Arial" w:hAnsi="Arial" w:cs="Arial"/>
          <w:b/>
        </w:rPr>
      </w:pPr>
      <w:r w:rsidRPr="001B7AD5">
        <w:rPr>
          <w:rFonts w:ascii="Arial" w:hAnsi="Arial" w:cs="Arial"/>
          <w:b/>
        </w:rPr>
        <w:t xml:space="preserve"> Artículo 217.  </w:t>
      </w:r>
      <w:proofErr w:type="spellStart"/>
      <w:r w:rsidRPr="001B7AD5">
        <w:rPr>
          <w:rFonts w:ascii="Arial" w:hAnsi="Arial" w:cs="Arial"/>
          <w:b/>
        </w:rPr>
        <w:t>Agrégase</w:t>
      </w:r>
      <w:proofErr w:type="spellEnd"/>
      <w:r w:rsidRPr="001B7AD5">
        <w:rPr>
          <w:rFonts w:ascii="Arial" w:hAnsi="Arial" w:cs="Arial"/>
          <w:b/>
        </w:rPr>
        <w:t xml:space="preserve"> al artículo 36 de la Ley Nº 19.210, de 29 de abril de 2014</w:t>
      </w:r>
      <w:r w:rsidRPr="001B7AD5">
        <w:rPr>
          <w:rFonts w:ascii="Arial" w:hAnsi="Arial" w:cs="Arial"/>
        </w:rPr>
        <w:t xml:space="preserve">, el siguiente inciso: En las sociedades comerciales, los ingresos o egresos dinerarios por aportes de capital, con o sin prima de emisión, aportes irrevocables, adelantos de fondos, reintegros de capital, pago de utilidades, pago de participaciones sociales por concepto de exclusión, receso, reducción, rescate, amortización de acciones, u otras operaciones similares previstas en la Ley Nº 16.060, de 4 de setiembre de 1989 y modificativas, por un importe igual o superior al equivalente a 160.000 UI (ciento sesenta mil unidades indexadas), sólo podrán realizarse por los medios previstos en el presente artículo. </w:t>
      </w:r>
    </w:p>
    <w:p w:rsidR="003B0BF1" w:rsidRDefault="003B0BF1" w:rsidP="003B0BF1">
      <w:pPr>
        <w:spacing w:line="240" w:lineRule="auto"/>
        <w:jc w:val="both"/>
        <w:rPr>
          <w:rFonts w:ascii="Arial" w:hAnsi="Arial" w:cs="Arial"/>
          <w:b/>
          <w:sz w:val="24"/>
          <w:szCs w:val="24"/>
        </w:rPr>
      </w:pPr>
      <w:r w:rsidRPr="001B7AD5">
        <w:rPr>
          <w:rFonts w:ascii="Arial" w:hAnsi="Arial" w:cs="Arial"/>
          <w:b/>
          <w:sz w:val="24"/>
          <w:szCs w:val="24"/>
        </w:rPr>
        <w:t>Art. 40</w:t>
      </w:r>
      <w:r>
        <w:rPr>
          <w:rFonts w:ascii="Arial" w:hAnsi="Arial" w:cs="Arial"/>
          <w:b/>
          <w:sz w:val="24"/>
          <w:szCs w:val="24"/>
        </w:rPr>
        <w:t>.</w:t>
      </w:r>
      <w:r w:rsidRPr="001B7AD5">
        <w:rPr>
          <w:rFonts w:ascii="Arial" w:hAnsi="Arial" w:cs="Arial"/>
          <w:b/>
          <w:sz w:val="24"/>
          <w:szCs w:val="24"/>
        </w:rPr>
        <w:t xml:space="preserve"> Enajenaciones y otros negocios sobre bienes inmuebles</w:t>
      </w:r>
      <w:r>
        <w:rPr>
          <w:rFonts w:ascii="Arial" w:hAnsi="Arial" w:cs="Arial"/>
          <w:b/>
          <w:sz w:val="24"/>
          <w:szCs w:val="24"/>
        </w:rPr>
        <w:t>:</w:t>
      </w:r>
    </w:p>
    <w:p w:rsidR="003B0BF1" w:rsidRPr="001B7AD5" w:rsidRDefault="003B0BF1" w:rsidP="003B0BF1">
      <w:pPr>
        <w:spacing w:line="240" w:lineRule="auto"/>
        <w:jc w:val="both"/>
        <w:rPr>
          <w:rFonts w:ascii="Arial" w:hAnsi="Arial" w:cs="Arial"/>
          <w:b/>
          <w:sz w:val="24"/>
          <w:szCs w:val="24"/>
        </w:rPr>
      </w:pPr>
      <w:r w:rsidRPr="001B7AD5">
        <w:rPr>
          <w:rFonts w:ascii="Arial" w:hAnsi="Arial" w:cs="Arial"/>
        </w:rPr>
        <w:t xml:space="preserve"> </w:t>
      </w:r>
      <w:r w:rsidRPr="001B7AD5">
        <w:rPr>
          <w:rFonts w:ascii="Arial" w:hAnsi="Arial" w:cs="Arial"/>
          <w:b/>
        </w:rPr>
        <w:t xml:space="preserve">Artículo 363. </w:t>
      </w:r>
      <w:proofErr w:type="spellStart"/>
      <w:r w:rsidRPr="001B7AD5">
        <w:rPr>
          <w:rFonts w:ascii="Arial" w:hAnsi="Arial" w:cs="Arial"/>
          <w:b/>
        </w:rPr>
        <w:t>Agrégase</w:t>
      </w:r>
      <w:proofErr w:type="spellEnd"/>
      <w:r w:rsidRPr="001B7AD5">
        <w:rPr>
          <w:rFonts w:ascii="Arial" w:hAnsi="Arial" w:cs="Arial"/>
          <w:b/>
        </w:rPr>
        <w:t xml:space="preserve"> al artículo 40 de la Ley Nº 19.210, de 29 de abril de 2014</w:t>
      </w:r>
      <w:r w:rsidRPr="001B7AD5">
        <w:rPr>
          <w:rFonts w:ascii="Arial" w:hAnsi="Arial" w:cs="Arial"/>
        </w:rPr>
        <w:t xml:space="preserve">, el siguiente inciso: Este artículo no será de aplicación en los casos de enajenación de bienes inmuebles por vía de expropiación. </w:t>
      </w:r>
    </w:p>
    <w:p w:rsidR="003B0BF1" w:rsidRPr="001B7AD5" w:rsidRDefault="003B0BF1" w:rsidP="003B0BF1">
      <w:pPr>
        <w:spacing w:line="240" w:lineRule="auto"/>
        <w:jc w:val="both"/>
        <w:rPr>
          <w:rFonts w:ascii="Arial" w:hAnsi="Arial" w:cs="Arial"/>
          <w:b/>
          <w:sz w:val="24"/>
          <w:szCs w:val="24"/>
        </w:rPr>
      </w:pPr>
      <w:r w:rsidRPr="001B7AD5">
        <w:rPr>
          <w:rFonts w:ascii="Arial" w:hAnsi="Arial" w:cs="Arial"/>
          <w:b/>
          <w:sz w:val="24"/>
          <w:szCs w:val="24"/>
        </w:rPr>
        <w:t>Art. 35</w:t>
      </w:r>
      <w:r>
        <w:rPr>
          <w:rFonts w:ascii="Arial" w:hAnsi="Arial" w:cs="Arial"/>
          <w:b/>
          <w:sz w:val="24"/>
          <w:szCs w:val="24"/>
        </w:rPr>
        <w:t>.</w:t>
      </w:r>
      <w:r w:rsidRPr="001B7AD5">
        <w:rPr>
          <w:rFonts w:ascii="Arial" w:hAnsi="Arial" w:cs="Arial"/>
          <w:b/>
          <w:sz w:val="24"/>
          <w:szCs w:val="24"/>
        </w:rPr>
        <w:t xml:space="preserve"> Restricción al uso del efectivo para ciertos pagos</w:t>
      </w:r>
      <w:r>
        <w:rPr>
          <w:rFonts w:ascii="Arial" w:hAnsi="Arial" w:cs="Arial"/>
          <w:b/>
          <w:sz w:val="24"/>
          <w:szCs w:val="24"/>
        </w:rPr>
        <w:t>:</w:t>
      </w:r>
    </w:p>
    <w:p w:rsidR="003B0BF1" w:rsidRPr="001B7AD5" w:rsidRDefault="003B0BF1" w:rsidP="003B0BF1">
      <w:pPr>
        <w:spacing w:line="240" w:lineRule="auto"/>
        <w:jc w:val="both"/>
        <w:rPr>
          <w:rFonts w:ascii="Arial" w:hAnsi="Arial" w:cs="Arial"/>
        </w:rPr>
      </w:pPr>
      <w:r w:rsidRPr="001B7AD5">
        <w:rPr>
          <w:rFonts w:ascii="Arial" w:hAnsi="Arial" w:cs="Arial"/>
        </w:rPr>
        <w:t xml:space="preserve"> </w:t>
      </w:r>
      <w:r w:rsidRPr="001B7AD5">
        <w:rPr>
          <w:rFonts w:ascii="Arial" w:hAnsi="Arial" w:cs="Arial"/>
          <w:b/>
        </w:rPr>
        <w:t>Artículo 739. Agréguense al artículo 35 de la Ley Nº 19.210, de 29 de abril de 2014</w:t>
      </w:r>
      <w:r w:rsidRPr="001B7AD5">
        <w:rPr>
          <w:rFonts w:ascii="Arial" w:hAnsi="Arial" w:cs="Arial"/>
        </w:rPr>
        <w:t xml:space="preserve">, los siguientes incisos: </w:t>
      </w:r>
      <w:proofErr w:type="spellStart"/>
      <w:r w:rsidRPr="001B7AD5">
        <w:rPr>
          <w:rFonts w:ascii="Arial" w:hAnsi="Arial" w:cs="Arial"/>
        </w:rPr>
        <w:t>Facúltase</w:t>
      </w:r>
      <w:proofErr w:type="spellEnd"/>
      <w:r w:rsidRPr="001B7AD5">
        <w:rPr>
          <w:rFonts w:ascii="Arial" w:hAnsi="Arial" w:cs="Arial"/>
        </w:rPr>
        <w:t xml:space="preserve"> al Poder Ejecutivo a restringir el uso del efectivo, en las condiciones que establezca la reglamentación, en aquellas actividades comerciales en las que el riesgo derivado de la utilización del efectivo justifique la adopción de tal medida, con la finalidad de tutelar la integridad física de las personas que trabajan en dichas actividades, así como de sus usuarios. </w:t>
      </w:r>
      <w:proofErr w:type="spellStart"/>
      <w:r w:rsidRPr="001B7AD5">
        <w:rPr>
          <w:rFonts w:ascii="Arial" w:hAnsi="Arial" w:cs="Arial"/>
        </w:rPr>
        <w:t>Facúltase</w:t>
      </w:r>
      <w:proofErr w:type="spellEnd"/>
      <w:r w:rsidRPr="001B7AD5">
        <w:rPr>
          <w:rFonts w:ascii="Arial" w:hAnsi="Arial" w:cs="Arial"/>
        </w:rPr>
        <w:t xml:space="preserve"> al Poder Ejecutivo a habilitar, a solicitud de parte, a que los establecimientos que enajenen bienes o presten servicios puedan Informe: Ley de Presupuesto e inclusión financiera l Enero 2016 Página 2 de 2 restringir la aceptación del efectivo para el cobro de tales operaciones, a efectos de proteger la integridad física de las personas que trabajan en dichos establecimientos, así como de sus usuarios. La reglamentación establecerá las condiciones generales para resolver la habilitación previsto. El Poder Ejecutivo dará cuenta al Poder Legislativo del ejercicio de las facultades previstas en los dos incisos precedentes. </w:t>
      </w:r>
    </w:p>
    <w:p w:rsidR="003B0BF1" w:rsidRPr="001B7AD5" w:rsidRDefault="003B0BF1" w:rsidP="003B0BF1">
      <w:pPr>
        <w:spacing w:line="240" w:lineRule="auto"/>
        <w:jc w:val="both"/>
        <w:rPr>
          <w:rFonts w:ascii="Arial" w:hAnsi="Arial" w:cs="Arial"/>
        </w:rPr>
      </w:pPr>
      <w:r w:rsidRPr="001B7AD5">
        <w:rPr>
          <w:rFonts w:ascii="Arial" w:hAnsi="Arial" w:cs="Arial"/>
          <w:b/>
        </w:rPr>
        <w:t xml:space="preserve">Artículo 740. </w:t>
      </w:r>
      <w:proofErr w:type="spellStart"/>
      <w:r w:rsidRPr="001B7AD5">
        <w:rPr>
          <w:rFonts w:ascii="Arial" w:hAnsi="Arial" w:cs="Arial"/>
          <w:b/>
        </w:rPr>
        <w:t>Agrégase</w:t>
      </w:r>
      <w:proofErr w:type="spellEnd"/>
      <w:r w:rsidRPr="001B7AD5">
        <w:rPr>
          <w:rFonts w:ascii="Arial" w:hAnsi="Arial" w:cs="Arial"/>
          <w:b/>
        </w:rPr>
        <w:t xml:space="preserve"> al artículo 35 de la Ley Nº 19.210, de 29 de abril de 2014</w:t>
      </w:r>
      <w:r w:rsidRPr="001B7AD5">
        <w:rPr>
          <w:rFonts w:ascii="Arial" w:hAnsi="Arial" w:cs="Arial"/>
        </w:rPr>
        <w:t>, el siguiente inciso: La restricción al uso del efectivo prevista en el inciso primero también será de aplicación, en las sociedades comerciales, a los ingresos o egresos dinerarios por aportes de capital, con o sin prima de emisión, aportes irrevocables, adelantos de fondos, reintegros de capital, pago de utilidades, pagos de participaciones sociales por concepto de exclusión, receso, reducción, rescate, amortización de acciones, u otras operaciones similares previstas en la Ley de Sociedades Comerciales, por un importe igual o superior al equivalente a 40.000 U.I. (cuarenta mil unidades indexadas)</w:t>
      </w:r>
    </w:p>
    <w:p w:rsidR="003B00E6" w:rsidRPr="002F6B92" w:rsidRDefault="003B00E6" w:rsidP="002F6B92">
      <w:bookmarkStart w:id="0" w:name="_GoBack"/>
      <w:bookmarkEnd w:id="0"/>
    </w:p>
    <w:sectPr w:rsidR="003B00E6" w:rsidRPr="002F6B92" w:rsidSect="003A47C6">
      <w:headerReference w:type="even" r:id="rId7"/>
      <w:headerReference w:type="default" r:id="rId8"/>
      <w:foot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33" w:rsidRDefault="00175533" w:rsidP="00D909B5">
      <w:pPr>
        <w:spacing w:after="0" w:line="240" w:lineRule="auto"/>
      </w:pPr>
      <w:r>
        <w:separator/>
      </w:r>
    </w:p>
  </w:endnote>
  <w:endnote w:type="continuationSeparator" w:id="0">
    <w:p w:rsidR="00175533" w:rsidRDefault="00175533" w:rsidP="00D9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A81C74" w:rsidP="00883F24">
    <w:pPr>
      <w:pStyle w:val="Piedepgina"/>
      <w:jc w:val="center"/>
    </w:pPr>
    <w:r>
      <w:rPr>
        <w:noProof/>
        <w:lang w:val="es-UY" w:eastAsia="es-UY"/>
      </w:rPr>
      <w:drawing>
        <wp:anchor distT="0" distB="0" distL="114300" distR="114300" simplePos="0" relativeHeight="251659776" behindDoc="0" locked="0" layoutInCell="1" allowOverlap="1">
          <wp:simplePos x="0" y="0"/>
          <wp:positionH relativeFrom="margin">
            <wp:align>center</wp:align>
          </wp:positionH>
          <wp:positionV relativeFrom="paragraph">
            <wp:posOffset>78740</wp:posOffset>
          </wp:positionV>
          <wp:extent cx="6120130" cy="104775"/>
          <wp:effectExtent l="0" t="0" r="0" b="9525"/>
          <wp:wrapNone/>
          <wp:docPr id="8" name="Imagen 7" descr="C:\Archivos de programa\Microsoft Office\MEDIA\OFFICE12\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Archivos de programa\Microsoft Office\MEDIA\OFFICE12\Lines\BD10289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2F6" w:rsidRPr="00CE12F6" w:rsidRDefault="00A81C74" w:rsidP="00CE12F6">
    <w:pPr>
      <w:pStyle w:val="Piedepgina"/>
      <w:jc w:val="center"/>
      <w:rPr>
        <w:color w:val="0070C0"/>
      </w:rPr>
    </w:pPr>
    <w:r>
      <w:rPr>
        <w:noProof/>
        <w:lang w:val="es-UY" w:eastAsia="es-UY"/>
      </w:rPr>
      <w:drawing>
        <wp:anchor distT="0" distB="0" distL="114300" distR="114300" simplePos="0" relativeHeight="251658752" behindDoc="0" locked="0" layoutInCell="1" allowOverlap="1">
          <wp:simplePos x="0" y="0"/>
          <wp:positionH relativeFrom="column">
            <wp:posOffset>5829300</wp:posOffset>
          </wp:positionH>
          <wp:positionV relativeFrom="paragraph">
            <wp:posOffset>21590</wp:posOffset>
          </wp:positionV>
          <wp:extent cx="714375" cy="714375"/>
          <wp:effectExtent l="0" t="0" r="9525" b="9525"/>
          <wp:wrapNone/>
          <wp:docPr id="7" name="Imagen 5" descr="C:\Documents and Settings\Raul\Escritorio\ADAPI\adapi-logo-fondo az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Raul\Escritorio\ADAPI\adapi-logo-fondo azu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F6" w:rsidRPr="00CE12F6">
      <w:rPr>
        <w:color w:val="0070C0"/>
      </w:rPr>
      <w:t>ADAPI</w:t>
    </w:r>
  </w:p>
  <w:p w:rsidR="00CE12F6" w:rsidRDefault="00CE12F6" w:rsidP="00CE12F6">
    <w:pPr>
      <w:pStyle w:val="Piedepgina"/>
      <w:jc w:val="center"/>
      <w:rPr>
        <w:sz w:val="16"/>
      </w:rPr>
    </w:pPr>
    <w:r>
      <w:rPr>
        <w:sz w:val="16"/>
      </w:rPr>
      <w:t>Asociación de Administradores de Propiedades Inmuebles</w:t>
    </w:r>
  </w:p>
  <w:p w:rsidR="00CE12F6" w:rsidRDefault="00CE12F6" w:rsidP="00CE12F6">
    <w:pPr>
      <w:pStyle w:val="Piedepgina"/>
      <w:jc w:val="center"/>
      <w:rPr>
        <w:sz w:val="16"/>
      </w:rPr>
    </w:pPr>
    <w:r>
      <w:rPr>
        <w:sz w:val="16"/>
      </w:rPr>
      <w:t>Avda. Daniel Fernández Crespo Nº 1919 Montevideo, URUGUAY</w:t>
    </w:r>
  </w:p>
  <w:p w:rsidR="00E8349D" w:rsidRPr="00CE12F6" w:rsidRDefault="00CE12F6" w:rsidP="00CE12F6">
    <w:pPr>
      <w:pStyle w:val="Piedepgina"/>
      <w:jc w:val="center"/>
      <w:rPr>
        <w:sz w:val="16"/>
      </w:rPr>
    </w:pPr>
    <w:r>
      <w:rPr>
        <w:sz w:val="16"/>
      </w:rPr>
      <w:t>Tel: 29291445 CP 11000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33" w:rsidRDefault="00175533" w:rsidP="00D909B5">
      <w:pPr>
        <w:spacing w:after="0" w:line="240" w:lineRule="auto"/>
      </w:pPr>
      <w:r>
        <w:separator/>
      </w:r>
    </w:p>
  </w:footnote>
  <w:footnote w:type="continuationSeparator" w:id="0">
    <w:p w:rsidR="00175533" w:rsidRDefault="00175533" w:rsidP="00D9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17553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1079" o:spid="_x0000_s2051" type="#_x0000_t75" style="position:absolute;margin-left:0;margin-top:0;width:425.15pt;height:425.15pt;z-index:-251659776;mso-position-horizontal:center;mso-position-horizontal-relative:margin;mso-position-vertical:center;mso-position-vertical-relative:margin" o:allowincell="f">
          <v:imagedata r:id="rId1" o:title="adapi-logo-fondo azul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17553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1080" o:spid="_x0000_s2052" type="#_x0000_t75" style="position:absolute;margin-left:0;margin-top:0;width:425.15pt;height:425.15pt;z-index:-251658752;mso-position-horizontal:center;mso-position-horizontal-relative:margin;mso-position-vertical:center;mso-position-vertical-relative:margin" o:allowincell="f">
          <v:imagedata r:id="rId1" o:title="adapi-logo-fondo azul2" gain="19661f" blacklevel="22938f"/>
          <w10:wrap anchorx="margin" anchory="margin"/>
        </v:shape>
      </w:pict>
    </w:r>
    <w:r w:rsidR="00A81C74">
      <w:rPr>
        <w:noProof/>
        <w:lang w:val="es-UY" w:eastAsia="es-UY"/>
      </w:rPr>
      <w:drawing>
        <wp:inline distT="0" distB="0" distL="0" distR="0">
          <wp:extent cx="6116955" cy="930275"/>
          <wp:effectExtent l="0" t="0" r="0" b="3175"/>
          <wp:docPr id="9" name="0 Imagen" descr="adapi-logo-f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api-logo-fondo azu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930275"/>
                  </a:xfrm>
                  <a:prstGeom prst="rect">
                    <a:avLst/>
                  </a:prstGeom>
                  <a:noFill/>
                  <a:ln>
                    <a:noFill/>
                  </a:ln>
                </pic:spPr>
              </pic:pic>
            </a:graphicData>
          </a:graphic>
        </wp:inline>
      </w:drawing>
    </w:r>
  </w:p>
  <w:p w:rsidR="00E8349D" w:rsidRDefault="00A81C74" w:rsidP="00CE12F6">
    <w:pPr>
      <w:pStyle w:val="Encabezado"/>
      <w:tabs>
        <w:tab w:val="clear" w:pos="4252"/>
        <w:tab w:val="clear" w:pos="8504"/>
      </w:tabs>
    </w:pPr>
    <w:r>
      <w:rPr>
        <w:noProof/>
        <w:lang w:val="es-UY" w:eastAsia="es-UY"/>
      </w:rPr>
      <w:drawing>
        <wp:inline distT="0" distB="0" distL="0" distR="0">
          <wp:extent cx="6116955" cy="78740"/>
          <wp:effectExtent l="0" t="0" r="0" b="0"/>
          <wp:docPr id="10" name="Imagen 1" descr="C:\Program Files\Microsoft Office\MEDIA\OFFICE12\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Program Files\Microsoft Office\MEDIA\OFFICE12\Lines\BD10289_.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955" cy="78740"/>
                  </a:xfrm>
                  <a:prstGeom prst="rect">
                    <a:avLst/>
                  </a:prstGeom>
                  <a:noFill/>
                  <a:ln>
                    <a:noFill/>
                  </a:ln>
                </pic:spPr>
              </pic:pic>
            </a:graphicData>
          </a:graphic>
        </wp:inline>
      </w:drawing>
    </w:r>
  </w:p>
  <w:p w:rsidR="00E8349D" w:rsidRDefault="00E834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17553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1078" o:spid="_x0000_s2050" type="#_x0000_t75" style="position:absolute;margin-left:0;margin-top:0;width:425.15pt;height:425.15pt;z-index:-251660800;mso-position-horizontal:center;mso-position-horizontal-relative:margin;mso-position-vertical:center;mso-position-vertical-relative:margin" o:allowincell="f">
          <v:imagedata r:id="rId1" o:title="adapi-logo-fondo azul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03F"/>
    <w:multiLevelType w:val="hybridMultilevel"/>
    <w:tmpl w:val="C1CE91A4"/>
    <w:lvl w:ilvl="0" w:tplc="380A0001">
      <w:start w:val="1"/>
      <w:numFmt w:val="bullet"/>
      <w:lvlText w:val=""/>
      <w:lvlJc w:val="left"/>
      <w:pPr>
        <w:ind w:left="1077" w:hanging="360"/>
      </w:pPr>
      <w:rPr>
        <w:rFonts w:ascii="Symbol" w:hAnsi="Symbol"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1">
    <w:nsid w:val="09C74995"/>
    <w:multiLevelType w:val="hybridMultilevel"/>
    <w:tmpl w:val="391E7B42"/>
    <w:lvl w:ilvl="0" w:tplc="0C0A0003">
      <w:start w:val="1"/>
      <w:numFmt w:val="bullet"/>
      <w:lvlText w:val="o"/>
      <w:lvlJc w:val="left"/>
      <w:pPr>
        <w:ind w:left="1797" w:hanging="360"/>
      </w:pPr>
      <w:rPr>
        <w:rFonts w:ascii="Courier New" w:hAnsi="Courier New" w:cs="Courier New" w:hint="default"/>
      </w:rPr>
    </w:lvl>
    <w:lvl w:ilvl="1" w:tplc="380A0003" w:tentative="1">
      <w:start w:val="1"/>
      <w:numFmt w:val="bullet"/>
      <w:lvlText w:val="o"/>
      <w:lvlJc w:val="left"/>
      <w:pPr>
        <w:ind w:left="2517" w:hanging="360"/>
      </w:pPr>
      <w:rPr>
        <w:rFonts w:ascii="Courier New" w:hAnsi="Courier New" w:cs="Courier New" w:hint="default"/>
      </w:rPr>
    </w:lvl>
    <w:lvl w:ilvl="2" w:tplc="380A0005" w:tentative="1">
      <w:start w:val="1"/>
      <w:numFmt w:val="bullet"/>
      <w:lvlText w:val=""/>
      <w:lvlJc w:val="left"/>
      <w:pPr>
        <w:ind w:left="3237" w:hanging="360"/>
      </w:pPr>
      <w:rPr>
        <w:rFonts w:ascii="Wingdings" w:hAnsi="Wingdings" w:hint="default"/>
      </w:rPr>
    </w:lvl>
    <w:lvl w:ilvl="3" w:tplc="380A0001" w:tentative="1">
      <w:start w:val="1"/>
      <w:numFmt w:val="bullet"/>
      <w:lvlText w:val=""/>
      <w:lvlJc w:val="left"/>
      <w:pPr>
        <w:ind w:left="3957" w:hanging="360"/>
      </w:pPr>
      <w:rPr>
        <w:rFonts w:ascii="Symbol" w:hAnsi="Symbol" w:hint="default"/>
      </w:rPr>
    </w:lvl>
    <w:lvl w:ilvl="4" w:tplc="380A0003" w:tentative="1">
      <w:start w:val="1"/>
      <w:numFmt w:val="bullet"/>
      <w:lvlText w:val="o"/>
      <w:lvlJc w:val="left"/>
      <w:pPr>
        <w:ind w:left="4677" w:hanging="360"/>
      </w:pPr>
      <w:rPr>
        <w:rFonts w:ascii="Courier New" w:hAnsi="Courier New" w:cs="Courier New" w:hint="default"/>
      </w:rPr>
    </w:lvl>
    <w:lvl w:ilvl="5" w:tplc="380A0005" w:tentative="1">
      <w:start w:val="1"/>
      <w:numFmt w:val="bullet"/>
      <w:lvlText w:val=""/>
      <w:lvlJc w:val="left"/>
      <w:pPr>
        <w:ind w:left="5397" w:hanging="360"/>
      </w:pPr>
      <w:rPr>
        <w:rFonts w:ascii="Wingdings" w:hAnsi="Wingdings" w:hint="default"/>
      </w:rPr>
    </w:lvl>
    <w:lvl w:ilvl="6" w:tplc="380A0001" w:tentative="1">
      <w:start w:val="1"/>
      <w:numFmt w:val="bullet"/>
      <w:lvlText w:val=""/>
      <w:lvlJc w:val="left"/>
      <w:pPr>
        <w:ind w:left="6117" w:hanging="360"/>
      </w:pPr>
      <w:rPr>
        <w:rFonts w:ascii="Symbol" w:hAnsi="Symbol" w:hint="default"/>
      </w:rPr>
    </w:lvl>
    <w:lvl w:ilvl="7" w:tplc="380A0003" w:tentative="1">
      <w:start w:val="1"/>
      <w:numFmt w:val="bullet"/>
      <w:lvlText w:val="o"/>
      <w:lvlJc w:val="left"/>
      <w:pPr>
        <w:ind w:left="6837" w:hanging="360"/>
      </w:pPr>
      <w:rPr>
        <w:rFonts w:ascii="Courier New" w:hAnsi="Courier New" w:cs="Courier New" w:hint="default"/>
      </w:rPr>
    </w:lvl>
    <w:lvl w:ilvl="8" w:tplc="380A0005" w:tentative="1">
      <w:start w:val="1"/>
      <w:numFmt w:val="bullet"/>
      <w:lvlText w:val=""/>
      <w:lvlJc w:val="left"/>
      <w:pPr>
        <w:ind w:left="7557" w:hanging="360"/>
      </w:pPr>
      <w:rPr>
        <w:rFonts w:ascii="Wingdings" w:hAnsi="Wingdings" w:hint="default"/>
      </w:rPr>
    </w:lvl>
  </w:abstractNum>
  <w:abstractNum w:abstractNumId="2">
    <w:nsid w:val="0AC02C36"/>
    <w:multiLevelType w:val="hybridMultilevel"/>
    <w:tmpl w:val="83F02B52"/>
    <w:lvl w:ilvl="0" w:tplc="0C0A000F">
      <w:start w:val="1"/>
      <w:numFmt w:val="decimal"/>
      <w:lvlText w:val="%1."/>
      <w:lvlJc w:val="left"/>
      <w:pPr>
        <w:ind w:left="1656" w:hanging="360"/>
      </w:pPr>
    </w:lvl>
    <w:lvl w:ilvl="1" w:tplc="0C0A0019" w:tentative="1">
      <w:start w:val="1"/>
      <w:numFmt w:val="lowerLetter"/>
      <w:lvlText w:val="%2."/>
      <w:lvlJc w:val="left"/>
      <w:pPr>
        <w:ind w:left="2376" w:hanging="360"/>
      </w:pPr>
    </w:lvl>
    <w:lvl w:ilvl="2" w:tplc="0C0A001B" w:tentative="1">
      <w:start w:val="1"/>
      <w:numFmt w:val="lowerRoman"/>
      <w:lvlText w:val="%3."/>
      <w:lvlJc w:val="right"/>
      <w:pPr>
        <w:ind w:left="3096" w:hanging="180"/>
      </w:pPr>
    </w:lvl>
    <w:lvl w:ilvl="3" w:tplc="0C0A000F" w:tentative="1">
      <w:start w:val="1"/>
      <w:numFmt w:val="decimal"/>
      <w:lvlText w:val="%4."/>
      <w:lvlJc w:val="left"/>
      <w:pPr>
        <w:ind w:left="3816" w:hanging="360"/>
      </w:pPr>
    </w:lvl>
    <w:lvl w:ilvl="4" w:tplc="0C0A0019" w:tentative="1">
      <w:start w:val="1"/>
      <w:numFmt w:val="lowerLetter"/>
      <w:lvlText w:val="%5."/>
      <w:lvlJc w:val="left"/>
      <w:pPr>
        <w:ind w:left="4536" w:hanging="360"/>
      </w:pPr>
    </w:lvl>
    <w:lvl w:ilvl="5" w:tplc="0C0A001B" w:tentative="1">
      <w:start w:val="1"/>
      <w:numFmt w:val="lowerRoman"/>
      <w:lvlText w:val="%6."/>
      <w:lvlJc w:val="right"/>
      <w:pPr>
        <w:ind w:left="5256" w:hanging="180"/>
      </w:pPr>
    </w:lvl>
    <w:lvl w:ilvl="6" w:tplc="0C0A000F" w:tentative="1">
      <w:start w:val="1"/>
      <w:numFmt w:val="decimal"/>
      <w:lvlText w:val="%7."/>
      <w:lvlJc w:val="left"/>
      <w:pPr>
        <w:ind w:left="5976" w:hanging="360"/>
      </w:pPr>
    </w:lvl>
    <w:lvl w:ilvl="7" w:tplc="0C0A0019" w:tentative="1">
      <w:start w:val="1"/>
      <w:numFmt w:val="lowerLetter"/>
      <w:lvlText w:val="%8."/>
      <w:lvlJc w:val="left"/>
      <w:pPr>
        <w:ind w:left="6696" w:hanging="360"/>
      </w:pPr>
    </w:lvl>
    <w:lvl w:ilvl="8" w:tplc="0C0A001B" w:tentative="1">
      <w:start w:val="1"/>
      <w:numFmt w:val="lowerRoman"/>
      <w:lvlText w:val="%9."/>
      <w:lvlJc w:val="right"/>
      <w:pPr>
        <w:ind w:left="7416" w:hanging="180"/>
      </w:pPr>
    </w:lvl>
  </w:abstractNum>
  <w:abstractNum w:abstractNumId="3">
    <w:nsid w:val="1814793B"/>
    <w:multiLevelType w:val="hybridMultilevel"/>
    <w:tmpl w:val="3462DA48"/>
    <w:lvl w:ilvl="0" w:tplc="380A0001">
      <w:start w:val="1"/>
      <w:numFmt w:val="bullet"/>
      <w:lvlText w:val=""/>
      <w:lvlJc w:val="left"/>
      <w:pPr>
        <w:ind w:left="1077" w:hanging="360"/>
      </w:pPr>
      <w:rPr>
        <w:rFonts w:ascii="Symbol" w:hAnsi="Symbol"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4">
    <w:nsid w:val="1C3732EF"/>
    <w:multiLevelType w:val="hybridMultilevel"/>
    <w:tmpl w:val="21E00FAA"/>
    <w:lvl w:ilvl="0" w:tplc="380A0001">
      <w:start w:val="1"/>
      <w:numFmt w:val="bullet"/>
      <w:lvlText w:val=""/>
      <w:lvlJc w:val="left"/>
      <w:pPr>
        <w:ind w:left="1077" w:hanging="360"/>
      </w:pPr>
      <w:rPr>
        <w:rFonts w:ascii="Symbol" w:hAnsi="Symbol"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5">
    <w:nsid w:val="1D644345"/>
    <w:multiLevelType w:val="hybridMultilevel"/>
    <w:tmpl w:val="F39A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D6C68"/>
    <w:multiLevelType w:val="hybridMultilevel"/>
    <w:tmpl w:val="65889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FC0C1D"/>
    <w:multiLevelType w:val="hybridMultilevel"/>
    <w:tmpl w:val="87B0D6C6"/>
    <w:lvl w:ilvl="0" w:tplc="380A0001">
      <w:start w:val="1"/>
      <w:numFmt w:val="bullet"/>
      <w:lvlText w:val=""/>
      <w:lvlJc w:val="left"/>
      <w:pPr>
        <w:ind w:left="1077" w:hanging="360"/>
      </w:pPr>
      <w:rPr>
        <w:rFonts w:ascii="Symbol" w:hAnsi="Symbol"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8">
    <w:nsid w:val="495C0B68"/>
    <w:multiLevelType w:val="hybridMultilevel"/>
    <w:tmpl w:val="6EF4FE62"/>
    <w:lvl w:ilvl="0" w:tplc="380A0005">
      <w:start w:val="1"/>
      <w:numFmt w:val="bullet"/>
      <w:lvlText w:val=""/>
      <w:lvlJc w:val="left"/>
      <w:pPr>
        <w:ind w:left="1077" w:hanging="360"/>
      </w:pPr>
      <w:rPr>
        <w:rFonts w:ascii="Wingdings" w:hAnsi="Wingdings"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9">
    <w:nsid w:val="4B996A21"/>
    <w:multiLevelType w:val="hybridMultilevel"/>
    <w:tmpl w:val="193A30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383A5C20">
      <w:start w:val="1"/>
      <w:numFmt w:val="bullet"/>
      <w:lvlText w:val=""/>
      <w:lvlJc w:val="left"/>
      <w:pPr>
        <w:ind w:left="2160" w:hanging="360"/>
      </w:pPr>
      <w:rPr>
        <w:rFonts w:ascii="Wingdings" w:hAnsi="Wingdings" w:hint="default"/>
        <w:lang w:val="es-ES_tradnl"/>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4B0BCE"/>
    <w:multiLevelType w:val="hybridMultilevel"/>
    <w:tmpl w:val="207A33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0BB4D0E"/>
    <w:multiLevelType w:val="hybridMultilevel"/>
    <w:tmpl w:val="8B3C00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7B20B7"/>
    <w:multiLevelType w:val="hybridMultilevel"/>
    <w:tmpl w:val="71A6746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56344262"/>
    <w:multiLevelType w:val="hybridMultilevel"/>
    <w:tmpl w:val="DD5CB5BE"/>
    <w:lvl w:ilvl="0" w:tplc="0C0A0001">
      <w:start w:val="1"/>
      <w:numFmt w:val="bullet"/>
      <w:lvlText w:val=""/>
      <w:lvlJc w:val="left"/>
      <w:pPr>
        <w:ind w:left="720" w:hanging="360"/>
      </w:pPr>
      <w:rPr>
        <w:rFonts w:ascii="Symbol" w:hAnsi="Symbol" w:hint="default"/>
      </w:rPr>
    </w:lvl>
    <w:lvl w:ilvl="1" w:tplc="ACF84238">
      <w:start w:val="1"/>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4A4F56"/>
    <w:multiLevelType w:val="hybridMultilevel"/>
    <w:tmpl w:val="B79C936E"/>
    <w:lvl w:ilvl="0" w:tplc="4CA6E24A">
      <w:start w:val="1"/>
      <w:numFmt w:val="decimal"/>
      <w:lvlText w:val="%1."/>
      <w:lvlJc w:val="left"/>
      <w:pPr>
        <w:ind w:left="360" w:hanging="360"/>
      </w:pPr>
      <w:rPr>
        <w:sz w:val="24"/>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15">
    <w:nsid w:val="6B42089B"/>
    <w:multiLevelType w:val="hybridMultilevel"/>
    <w:tmpl w:val="8BCC9D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6D800624"/>
    <w:multiLevelType w:val="hybridMultilevel"/>
    <w:tmpl w:val="AB9E8044"/>
    <w:lvl w:ilvl="0" w:tplc="4CA6E24A">
      <w:start w:val="1"/>
      <w:numFmt w:val="decimal"/>
      <w:lvlText w:val="%1."/>
      <w:lvlJc w:val="left"/>
      <w:pPr>
        <w:ind w:left="1428" w:hanging="360"/>
      </w:pPr>
      <w:rPr>
        <w:sz w:val="24"/>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778D2FCE"/>
    <w:multiLevelType w:val="hybridMultilevel"/>
    <w:tmpl w:val="E3085070"/>
    <w:lvl w:ilvl="0" w:tplc="380A0001">
      <w:start w:val="1"/>
      <w:numFmt w:val="bullet"/>
      <w:lvlText w:val=""/>
      <w:lvlJc w:val="left"/>
      <w:pPr>
        <w:ind w:left="1077" w:hanging="360"/>
      </w:pPr>
      <w:rPr>
        <w:rFonts w:ascii="Symbol" w:hAnsi="Symbol"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18">
    <w:nsid w:val="7896695D"/>
    <w:multiLevelType w:val="multilevel"/>
    <w:tmpl w:val="0CF6B2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B4A1BEE"/>
    <w:multiLevelType w:val="hybridMultilevel"/>
    <w:tmpl w:val="2BF0DEF8"/>
    <w:lvl w:ilvl="0" w:tplc="0C0A0003">
      <w:start w:val="1"/>
      <w:numFmt w:val="bullet"/>
      <w:lvlText w:val="o"/>
      <w:lvlJc w:val="left"/>
      <w:pPr>
        <w:ind w:left="3960" w:hanging="360"/>
      </w:pPr>
      <w:rPr>
        <w:rFonts w:ascii="Courier New" w:hAnsi="Courier New" w:cs="Courier New" w:hint="default"/>
      </w:rPr>
    </w:lvl>
    <w:lvl w:ilvl="1" w:tplc="380A0003" w:tentative="1">
      <w:start w:val="1"/>
      <w:numFmt w:val="bullet"/>
      <w:lvlText w:val="o"/>
      <w:lvlJc w:val="left"/>
      <w:pPr>
        <w:ind w:left="4680" w:hanging="360"/>
      </w:pPr>
      <w:rPr>
        <w:rFonts w:ascii="Courier New" w:hAnsi="Courier New" w:cs="Courier New" w:hint="default"/>
      </w:rPr>
    </w:lvl>
    <w:lvl w:ilvl="2" w:tplc="380A0005" w:tentative="1">
      <w:start w:val="1"/>
      <w:numFmt w:val="bullet"/>
      <w:lvlText w:val=""/>
      <w:lvlJc w:val="left"/>
      <w:pPr>
        <w:ind w:left="5400" w:hanging="360"/>
      </w:pPr>
      <w:rPr>
        <w:rFonts w:ascii="Wingdings" w:hAnsi="Wingdings" w:hint="default"/>
      </w:rPr>
    </w:lvl>
    <w:lvl w:ilvl="3" w:tplc="380A0001" w:tentative="1">
      <w:start w:val="1"/>
      <w:numFmt w:val="bullet"/>
      <w:lvlText w:val=""/>
      <w:lvlJc w:val="left"/>
      <w:pPr>
        <w:ind w:left="6120" w:hanging="360"/>
      </w:pPr>
      <w:rPr>
        <w:rFonts w:ascii="Symbol" w:hAnsi="Symbol" w:hint="default"/>
      </w:rPr>
    </w:lvl>
    <w:lvl w:ilvl="4" w:tplc="380A0003" w:tentative="1">
      <w:start w:val="1"/>
      <w:numFmt w:val="bullet"/>
      <w:lvlText w:val="o"/>
      <w:lvlJc w:val="left"/>
      <w:pPr>
        <w:ind w:left="6840" w:hanging="360"/>
      </w:pPr>
      <w:rPr>
        <w:rFonts w:ascii="Courier New" w:hAnsi="Courier New" w:cs="Courier New" w:hint="default"/>
      </w:rPr>
    </w:lvl>
    <w:lvl w:ilvl="5" w:tplc="380A0005" w:tentative="1">
      <w:start w:val="1"/>
      <w:numFmt w:val="bullet"/>
      <w:lvlText w:val=""/>
      <w:lvlJc w:val="left"/>
      <w:pPr>
        <w:ind w:left="7560" w:hanging="360"/>
      </w:pPr>
      <w:rPr>
        <w:rFonts w:ascii="Wingdings" w:hAnsi="Wingdings" w:hint="default"/>
      </w:rPr>
    </w:lvl>
    <w:lvl w:ilvl="6" w:tplc="380A0001" w:tentative="1">
      <w:start w:val="1"/>
      <w:numFmt w:val="bullet"/>
      <w:lvlText w:val=""/>
      <w:lvlJc w:val="left"/>
      <w:pPr>
        <w:ind w:left="8280" w:hanging="360"/>
      </w:pPr>
      <w:rPr>
        <w:rFonts w:ascii="Symbol" w:hAnsi="Symbol" w:hint="default"/>
      </w:rPr>
    </w:lvl>
    <w:lvl w:ilvl="7" w:tplc="380A0003" w:tentative="1">
      <w:start w:val="1"/>
      <w:numFmt w:val="bullet"/>
      <w:lvlText w:val="o"/>
      <w:lvlJc w:val="left"/>
      <w:pPr>
        <w:ind w:left="9000" w:hanging="360"/>
      </w:pPr>
      <w:rPr>
        <w:rFonts w:ascii="Courier New" w:hAnsi="Courier New" w:cs="Courier New" w:hint="default"/>
      </w:rPr>
    </w:lvl>
    <w:lvl w:ilvl="8" w:tplc="380A0005" w:tentative="1">
      <w:start w:val="1"/>
      <w:numFmt w:val="bullet"/>
      <w:lvlText w:val=""/>
      <w:lvlJc w:val="left"/>
      <w:pPr>
        <w:ind w:left="9720" w:hanging="360"/>
      </w:pPr>
      <w:rPr>
        <w:rFonts w:ascii="Wingdings" w:hAnsi="Wingdings" w:hint="default"/>
      </w:rPr>
    </w:lvl>
  </w:abstractNum>
  <w:num w:numId="1">
    <w:abstractNumId w:val="6"/>
  </w:num>
  <w:num w:numId="2">
    <w:abstractNumId w:val="13"/>
  </w:num>
  <w:num w:numId="3">
    <w:abstractNumId w:val="2"/>
  </w:num>
  <w:num w:numId="4">
    <w:abstractNumId w:val="5"/>
  </w:num>
  <w:num w:numId="5">
    <w:abstractNumId w:val="10"/>
  </w:num>
  <w:num w:numId="6">
    <w:abstractNumId w:val="11"/>
  </w:num>
  <w:num w:numId="7">
    <w:abstractNumId w:val="16"/>
  </w:num>
  <w:num w:numId="8">
    <w:abstractNumId w:val="15"/>
  </w:num>
  <w:num w:numId="9">
    <w:abstractNumId w:val="14"/>
  </w:num>
  <w:num w:numId="10">
    <w:abstractNumId w:val="12"/>
  </w:num>
  <w:num w:numId="11">
    <w:abstractNumId w:val="18"/>
  </w:num>
  <w:num w:numId="12">
    <w:abstractNumId w:val="9"/>
  </w:num>
  <w:num w:numId="13">
    <w:abstractNumId w:val="0"/>
  </w:num>
  <w:num w:numId="14">
    <w:abstractNumId w:val="4"/>
  </w:num>
  <w:num w:numId="15">
    <w:abstractNumId w:val="3"/>
  </w:num>
  <w:num w:numId="16">
    <w:abstractNumId w:val="19"/>
  </w:num>
  <w:num w:numId="17">
    <w:abstractNumId w:val="7"/>
  </w:num>
  <w:num w:numId="18">
    <w:abstractNumId w:val="1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9"/>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B5"/>
    <w:rsid w:val="00006803"/>
    <w:rsid w:val="00015CDF"/>
    <w:rsid w:val="0003454E"/>
    <w:rsid w:val="0009759D"/>
    <w:rsid w:val="000C0A6A"/>
    <w:rsid w:val="000E744F"/>
    <w:rsid w:val="000F4B5D"/>
    <w:rsid w:val="00175533"/>
    <w:rsid w:val="00177C85"/>
    <w:rsid w:val="0019296A"/>
    <w:rsid w:val="001B0A27"/>
    <w:rsid w:val="00202B89"/>
    <w:rsid w:val="00222D17"/>
    <w:rsid w:val="0023021D"/>
    <w:rsid w:val="002858B8"/>
    <w:rsid w:val="002F6B92"/>
    <w:rsid w:val="00372C4C"/>
    <w:rsid w:val="0038407A"/>
    <w:rsid w:val="003A47C6"/>
    <w:rsid w:val="003B00E6"/>
    <w:rsid w:val="003B0BF1"/>
    <w:rsid w:val="003F3A4B"/>
    <w:rsid w:val="003F7155"/>
    <w:rsid w:val="0048495B"/>
    <w:rsid w:val="004E14E2"/>
    <w:rsid w:val="005172F0"/>
    <w:rsid w:val="00540A63"/>
    <w:rsid w:val="00591FBA"/>
    <w:rsid w:val="005B5599"/>
    <w:rsid w:val="005F4FD9"/>
    <w:rsid w:val="006F4471"/>
    <w:rsid w:val="0070438D"/>
    <w:rsid w:val="00764113"/>
    <w:rsid w:val="0078714B"/>
    <w:rsid w:val="007A69F9"/>
    <w:rsid w:val="007C113D"/>
    <w:rsid w:val="007D2C70"/>
    <w:rsid w:val="007D6A31"/>
    <w:rsid w:val="00807DC5"/>
    <w:rsid w:val="008119B1"/>
    <w:rsid w:val="008611B9"/>
    <w:rsid w:val="00875F48"/>
    <w:rsid w:val="00881C99"/>
    <w:rsid w:val="00883F24"/>
    <w:rsid w:val="008C7CC9"/>
    <w:rsid w:val="00907828"/>
    <w:rsid w:val="009541CF"/>
    <w:rsid w:val="00982044"/>
    <w:rsid w:val="00983F24"/>
    <w:rsid w:val="00985D53"/>
    <w:rsid w:val="00A021B6"/>
    <w:rsid w:val="00A81C74"/>
    <w:rsid w:val="00A8215B"/>
    <w:rsid w:val="00A92EB8"/>
    <w:rsid w:val="00AE099C"/>
    <w:rsid w:val="00B06B8F"/>
    <w:rsid w:val="00B34D5A"/>
    <w:rsid w:val="00B451A3"/>
    <w:rsid w:val="00B70F77"/>
    <w:rsid w:val="00BC15A7"/>
    <w:rsid w:val="00BF778A"/>
    <w:rsid w:val="00C610FE"/>
    <w:rsid w:val="00CA4F2F"/>
    <w:rsid w:val="00CD39EC"/>
    <w:rsid w:val="00CE12F6"/>
    <w:rsid w:val="00D74780"/>
    <w:rsid w:val="00D909B5"/>
    <w:rsid w:val="00DB0705"/>
    <w:rsid w:val="00DC5CB0"/>
    <w:rsid w:val="00E66095"/>
    <w:rsid w:val="00E7181D"/>
    <w:rsid w:val="00E8349D"/>
    <w:rsid w:val="00EB4ECD"/>
    <w:rsid w:val="00EC7809"/>
    <w:rsid w:val="00F42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FEEF724-1FC6-4733-B4B1-1BACE78A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4C"/>
    <w:pPr>
      <w:spacing w:after="200" w:line="276" w:lineRule="auto"/>
    </w:pPr>
    <w:rPr>
      <w:sz w:val="22"/>
      <w:szCs w:val="22"/>
      <w:lang w:eastAsia="en-US"/>
    </w:rPr>
  </w:style>
  <w:style w:type="paragraph" w:styleId="Ttulo1">
    <w:name w:val="heading 1"/>
    <w:basedOn w:val="Normal"/>
    <w:next w:val="Normal"/>
    <w:link w:val="Ttulo1Car"/>
    <w:uiPriority w:val="9"/>
    <w:qFormat/>
    <w:rsid w:val="0038407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0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09B5"/>
  </w:style>
  <w:style w:type="paragraph" w:styleId="Piedepgina">
    <w:name w:val="footer"/>
    <w:basedOn w:val="Normal"/>
    <w:link w:val="PiedepginaCar"/>
    <w:uiPriority w:val="99"/>
    <w:unhideWhenUsed/>
    <w:rsid w:val="00D90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09B5"/>
  </w:style>
  <w:style w:type="paragraph" w:styleId="Textodeglobo">
    <w:name w:val="Balloon Text"/>
    <w:basedOn w:val="Normal"/>
    <w:link w:val="TextodegloboCar"/>
    <w:uiPriority w:val="99"/>
    <w:semiHidden/>
    <w:unhideWhenUsed/>
    <w:rsid w:val="00D90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9B5"/>
    <w:rPr>
      <w:rFonts w:ascii="Tahoma" w:hAnsi="Tahoma" w:cs="Tahoma"/>
      <w:sz w:val="16"/>
      <w:szCs w:val="16"/>
    </w:rPr>
  </w:style>
  <w:style w:type="paragraph" w:styleId="Cierre">
    <w:name w:val="Closing"/>
    <w:basedOn w:val="Normal"/>
    <w:link w:val="CierreCar"/>
    <w:rsid w:val="006F4471"/>
    <w:pPr>
      <w:spacing w:after="960" w:line="240" w:lineRule="auto"/>
    </w:pPr>
    <w:rPr>
      <w:rFonts w:ascii="Arial" w:eastAsia="Times New Roman" w:hAnsi="Arial" w:cs="Arial"/>
      <w:lang w:val="en-US"/>
    </w:rPr>
  </w:style>
  <w:style w:type="character" w:customStyle="1" w:styleId="CierreCar">
    <w:name w:val="Cierre Car"/>
    <w:basedOn w:val="Fuentedeprrafopredeter"/>
    <w:link w:val="Cierre"/>
    <w:rsid w:val="006F4471"/>
    <w:rPr>
      <w:rFonts w:ascii="Arial" w:eastAsia="Times New Roman" w:hAnsi="Arial" w:cs="Arial"/>
      <w:sz w:val="22"/>
      <w:szCs w:val="22"/>
      <w:lang w:val="en-US" w:eastAsia="en-US"/>
    </w:rPr>
  </w:style>
  <w:style w:type="paragraph" w:styleId="Textoindependiente">
    <w:name w:val="Body Text"/>
    <w:basedOn w:val="Normal"/>
    <w:link w:val="TextoindependienteCar"/>
    <w:rsid w:val="006F4471"/>
    <w:pPr>
      <w:spacing w:after="240" w:line="240" w:lineRule="auto"/>
    </w:pPr>
    <w:rPr>
      <w:rFonts w:ascii="Arial" w:eastAsia="Times New Roman" w:hAnsi="Arial" w:cs="Arial"/>
      <w:lang w:val="en-US"/>
    </w:rPr>
  </w:style>
  <w:style w:type="character" w:customStyle="1" w:styleId="TextoindependienteCar">
    <w:name w:val="Texto independiente Car"/>
    <w:basedOn w:val="Fuentedeprrafopredeter"/>
    <w:link w:val="Textoindependiente"/>
    <w:rsid w:val="006F4471"/>
    <w:rPr>
      <w:rFonts w:ascii="Arial" w:eastAsia="Times New Roman" w:hAnsi="Arial" w:cs="Arial"/>
      <w:sz w:val="22"/>
      <w:szCs w:val="22"/>
      <w:lang w:val="en-US" w:eastAsia="en-US"/>
    </w:rPr>
  </w:style>
  <w:style w:type="paragraph" w:styleId="Saludo">
    <w:name w:val="Salutation"/>
    <w:basedOn w:val="Normal"/>
    <w:next w:val="Normal"/>
    <w:link w:val="SaludoCar"/>
    <w:rsid w:val="006F4471"/>
    <w:pPr>
      <w:spacing w:before="480" w:after="240" w:line="240" w:lineRule="auto"/>
    </w:pPr>
    <w:rPr>
      <w:rFonts w:ascii="Arial" w:eastAsia="Times New Roman" w:hAnsi="Arial" w:cs="Arial"/>
      <w:lang w:val="en-US"/>
    </w:rPr>
  </w:style>
  <w:style w:type="character" w:customStyle="1" w:styleId="SaludoCar">
    <w:name w:val="Saludo Car"/>
    <w:basedOn w:val="Fuentedeprrafopredeter"/>
    <w:link w:val="Saludo"/>
    <w:rsid w:val="006F4471"/>
    <w:rPr>
      <w:rFonts w:ascii="Arial" w:eastAsia="Times New Roman" w:hAnsi="Arial" w:cs="Arial"/>
      <w:sz w:val="22"/>
      <w:szCs w:val="22"/>
      <w:lang w:val="en-US" w:eastAsia="en-US"/>
    </w:rPr>
  </w:style>
  <w:style w:type="paragraph" w:styleId="Fecha">
    <w:name w:val="Date"/>
    <w:basedOn w:val="Normal"/>
    <w:next w:val="Normal"/>
    <w:link w:val="FechaCar"/>
    <w:rsid w:val="006F4471"/>
    <w:pPr>
      <w:spacing w:before="480" w:after="480" w:line="240" w:lineRule="auto"/>
    </w:pPr>
    <w:rPr>
      <w:rFonts w:ascii="Arial" w:eastAsia="Times New Roman" w:hAnsi="Arial" w:cs="Arial"/>
      <w:lang w:val="en-US"/>
    </w:rPr>
  </w:style>
  <w:style w:type="character" w:customStyle="1" w:styleId="FechaCar">
    <w:name w:val="Fecha Car"/>
    <w:basedOn w:val="Fuentedeprrafopredeter"/>
    <w:link w:val="Fecha"/>
    <w:rsid w:val="006F4471"/>
    <w:rPr>
      <w:rFonts w:ascii="Arial" w:eastAsia="Times New Roman" w:hAnsi="Arial" w:cs="Arial"/>
      <w:sz w:val="22"/>
      <w:szCs w:val="22"/>
      <w:lang w:val="en-US" w:eastAsia="en-US"/>
    </w:rPr>
  </w:style>
  <w:style w:type="paragraph" w:customStyle="1" w:styleId="Direccindeldestinatario">
    <w:name w:val="Dirección del destinatario"/>
    <w:basedOn w:val="Normal"/>
    <w:rsid w:val="006F4471"/>
    <w:pPr>
      <w:spacing w:after="0" w:line="240" w:lineRule="auto"/>
    </w:pPr>
    <w:rPr>
      <w:rFonts w:ascii="Arial" w:eastAsia="Times New Roman" w:hAnsi="Arial" w:cs="Arial"/>
      <w:lang w:val="en-US" w:bidi="en-US"/>
    </w:rPr>
  </w:style>
  <w:style w:type="paragraph" w:styleId="NormalWeb">
    <w:name w:val="Normal (Web)"/>
    <w:basedOn w:val="Normal"/>
    <w:uiPriority w:val="99"/>
    <w:unhideWhenUsed/>
    <w:rsid w:val="006F447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reccindeldestinatario0">
    <w:name w:val="direccindeldestinatario"/>
    <w:basedOn w:val="Normal"/>
    <w:rsid w:val="0076411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38407A"/>
    <w:rPr>
      <w:rFonts w:asciiTheme="majorHAnsi" w:eastAsiaTheme="majorEastAsia" w:hAnsiTheme="majorHAnsi" w:cstheme="majorBidi"/>
      <w:b/>
      <w:bCs/>
      <w:color w:val="365F91" w:themeColor="accent1" w:themeShade="BF"/>
      <w:sz w:val="28"/>
      <w:szCs w:val="28"/>
      <w:lang w:val="es-UY" w:eastAsia="en-US"/>
    </w:rPr>
  </w:style>
  <w:style w:type="paragraph" w:styleId="Prrafodelista">
    <w:name w:val="List Paragraph"/>
    <w:basedOn w:val="Normal"/>
    <w:uiPriority w:val="1"/>
    <w:qFormat/>
    <w:rsid w:val="0038407A"/>
    <w:pPr>
      <w:spacing w:after="160" w:line="259" w:lineRule="auto"/>
      <w:ind w:left="720"/>
      <w:contextualSpacing/>
    </w:pPr>
    <w:rPr>
      <w:rFonts w:asciiTheme="minorHAnsi" w:eastAsiaTheme="minorHAnsi" w:hAnsiTheme="minorHAnsi" w:cstheme="minorBidi"/>
      <w:lang w:val="es-UY"/>
    </w:rPr>
  </w:style>
  <w:style w:type="paragraph" w:styleId="Puesto">
    <w:name w:val="Title"/>
    <w:basedOn w:val="Normal"/>
    <w:next w:val="Normal"/>
    <w:link w:val="PuestoCar"/>
    <w:uiPriority w:val="10"/>
    <w:qFormat/>
    <w:rsid w:val="00384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UY"/>
    </w:rPr>
  </w:style>
  <w:style w:type="character" w:customStyle="1" w:styleId="PuestoCar">
    <w:name w:val="Puesto Car"/>
    <w:basedOn w:val="Fuentedeprrafopredeter"/>
    <w:link w:val="Puesto"/>
    <w:uiPriority w:val="10"/>
    <w:rsid w:val="0038407A"/>
    <w:rPr>
      <w:rFonts w:asciiTheme="majorHAnsi" w:eastAsiaTheme="majorEastAsia" w:hAnsiTheme="majorHAnsi" w:cstheme="majorBidi"/>
      <w:color w:val="17365D" w:themeColor="text2" w:themeShade="BF"/>
      <w:spacing w:val="5"/>
      <w:kern w:val="28"/>
      <w:sz w:val="52"/>
      <w:szCs w:val="52"/>
      <w:lang w:val="es-UY" w:eastAsia="en-US"/>
    </w:rPr>
  </w:style>
  <w:style w:type="character" w:styleId="nfasissutil">
    <w:name w:val="Subtle Emphasis"/>
    <w:basedOn w:val="Fuentedeprrafopredeter"/>
    <w:uiPriority w:val="19"/>
    <w:qFormat/>
    <w:rsid w:val="0038407A"/>
    <w:rPr>
      <w:i/>
      <w:iCs/>
      <w:color w:val="808080" w:themeColor="text1" w:themeTint="7F"/>
    </w:rPr>
  </w:style>
  <w:style w:type="paragraph" w:styleId="Citadestacada">
    <w:name w:val="Intense Quote"/>
    <w:basedOn w:val="Normal"/>
    <w:next w:val="Normal"/>
    <w:link w:val="CitadestacadaCar"/>
    <w:uiPriority w:val="30"/>
    <w:qFormat/>
    <w:rsid w:val="0038407A"/>
    <w:pPr>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lang w:val="es-UY"/>
    </w:rPr>
  </w:style>
  <w:style w:type="character" w:customStyle="1" w:styleId="CitadestacadaCar">
    <w:name w:val="Cita destacada Car"/>
    <w:basedOn w:val="Fuentedeprrafopredeter"/>
    <w:link w:val="Citadestacada"/>
    <w:uiPriority w:val="30"/>
    <w:rsid w:val="0038407A"/>
    <w:rPr>
      <w:rFonts w:asciiTheme="minorHAnsi" w:eastAsiaTheme="minorHAnsi" w:hAnsiTheme="minorHAnsi" w:cstheme="minorBidi"/>
      <w:b/>
      <w:bCs/>
      <w:i/>
      <w:iCs/>
      <w:color w:val="4F81BD" w:themeColor="accent1"/>
      <w:sz w:val="22"/>
      <w:szCs w:val="22"/>
      <w:lang w:val="es-UY" w:eastAsia="en-US"/>
    </w:rPr>
  </w:style>
  <w:style w:type="character" w:styleId="nfasisintenso">
    <w:name w:val="Intense Emphasis"/>
    <w:basedOn w:val="Fuentedeprrafopredeter"/>
    <w:uiPriority w:val="21"/>
    <w:qFormat/>
    <w:rsid w:val="0038407A"/>
    <w:rPr>
      <w:b/>
      <w:bCs/>
      <w:i/>
      <w:iCs/>
      <w:color w:val="4F81BD" w:themeColor="accent1"/>
    </w:rPr>
  </w:style>
  <w:style w:type="character" w:customStyle="1" w:styleId="normaltextrun">
    <w:name w:val="normaltextrun"/>
    <w:basedOn w:val="Fuentedeprrafopredeter"/>
    <w:rsid w:val="0038407A"/>
  </w:style>
  <w:style w:type="character" w:customStyle="1" w:styleId="apple-converted-space">
    <w:name w:val="apple-converted-space"/>
    <w:basedOn w:val="Fuentedeprrafopredeter"/>
    <w:rsid w:val="0038407A"/>
  </w:style>
  <w:style w:type="character" w:customStyle="1" w:styleId="eop">
    <w:name w:val="eop"/>
    <w:basedOn w:val="Fuentedeprrafopredeter"/>
    <w:rsid w:val="0038407A"/>
  </w:style>
  <w:style w:type="character" w:styleId="nfasis">
    <w:name w:val="Emphasis"/>
    <w:basedOn w:val="Fuentedeprrafopredeter"/>
    <w:uiPriority w:val="20"/>
    <w:qFormat/>
    <w:rsid w:val="0081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Investigaciones Inmobiliarias</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Calandria</dc:creator>
  <cp:keywords>Martínez</cp:keywords>
  <cp:lastModifiedBy>Adapi</cp:lastModifiedBy>
  <cp:revision>2</cp:revision>
  <cp:lastPrinted>2015-09-23T18:20:00Z</cp:lastPrinted>
  <dcterms:created xsi:type="dcterms:W3CDTF">2016-04-22T18:53:00Z</dcterms:created>
  <dcterms:modified xsi:type="dcterms:W3CDTF">2016-04-22T18:53:00Z</dcterms:modified>
</cp:coreProperties>
</file>